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6" w:lineRule="atLeast"/>
        <w:ind w:left="0" w:right="0" w:firstLine="420"/>
        <w:jc w:val="left"/>
        <w:rPr>
          <w:rFonts w:ascii="Arial" w:hAnsi="Arial" w:cs="Arial"/>
          <w:i w:val="0"/>
          <w:caps w:val="0"/>
          <w:color w:val="666666"/>
          <w:spacing w:val="0"/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FFFFF"/>
        </w:rPr>
        <w:t>调整部分岗位条件</w:t>
      </w:r>
    </w:p>
    <w:tbl>
      <w:tblPr>
        <w:tblW w:w="9178" w:type="dxa"/>
        <w:jc w:val="center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3" w:type="dxa"/>
          <w:left w:w="125" w:type="dxa"/>
          <w:bottom w:w="63" w:type="dxa"/>
          <w:right w:w="125" w:type="dxa"/>
        </w:tblCellMar>
      </w:tblPr>
      <w:tblGrid>
        <w:gridCol w:w="4476"/>
        <w:gridCol w:w="1755"/>
        <w:gridCol w:w="1103"/>
        <w:gridCol w:w="1267"/>
        <w:gridCol w:w="57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选调（聘）单位</w:t>
            </w: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主管部门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原最大年龄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调整后最大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中共珙县纪律检查委员会（监察委员会）派驻纪检监察组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35周岁以下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珙县经济合作和外事局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35周岁以下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珙县珙泉市场监管所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珙县市场监督管理局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35周岁以下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珙县妇女联合会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40周岁以下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40周岁及以下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珙县普查中心（珙县社情民意调查中心）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珙县统计局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40周岁以下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40周岁及以下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珙县珙泉镇人民政府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37周岁以下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37周岁及以下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珙县珙泉镇人民政府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37周岁以下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37周岁及以下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珙县珙泉镇人民政府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37周岁以下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37周岁及以下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珙县城乡基层治理服务中心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中共珙县县委组织部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35周岁以下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A7B4C"/>
    <w:rsid w:val="3F4A7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2020-12-12T02:48:00Z</dcterms:created>
  <dc:creator>ASUS</dc:creator>
  <cp:lastModifiedBy>ASUS</cp:lastModifiedBy>
  <dcterms:modified xsi:type="dcterms:W3CDTF">2020-12-12T02:48:28Z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