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b/>
          <w:color w:val="565656"/>
          <w:sz w:val="44"/>
          <w:szCs w:val="44"/>
        </w:rPr>
        <w:t>经理层岗位职责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</w:pPr>
      <w:r>
        <w:rPr>
          <w:rFonts w:ascii="黑体" w:hAnsi="宋体" w:eastAsia="黑体" w:cs="黑体"/>
          <w:b w:val="0"/>
          <w:color w:val="565656"/>
        </w:rPr>
        <w:t>一、总经理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74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952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565656"/>
                <w:sz w:val="22"/>
                <w:szCs w:val="22"/>
              </w:rPr>
              <w:t>一、岗位概要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520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组织拟订和实施公司整体战略，完成董事会下达的年度经营目标；领导公司各部门建立健全良好的沟通渠道；建设高效的组织团队，管理直属部门的工作。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520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二、岗位职责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7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职责</w:t>
            </w: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工作任务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战略管理</w:t>
            </w: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组织拟订公司的发展战略与规划，报董事会批准；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组织实施公司整体战略，发掘市场机会；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在董事长的授权和委托下，领导创新与变革。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经营管理</w:t>
            </w: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主持公司日常经营管理工作，组织实施董事会决议，定期向董事会报告工作，并接受监事会的监督；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组织制定、修改、实施公司年度经营计划和投融资方案，完成董事会下达的年度经营目标；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召集和主持总经理办公会议；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签发公司经营管理业务文件，签署公司所属子公司年度经营目标责任书；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根据董事长的授权和委托，代表公司对外签署合同与协议，并处理公司有关的对外事务；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领导直接下属及直属部门开展工作。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组织与工作体系建设</w:t>
            </w: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组织拟订公司内部管理机构设置方案，报董事会批准；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负责经理层班子和人才队伍建设，按照公司章程提名或决定相关人事任免；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组织拟订公司的基本管理制度，报董事会批准；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组织制定公司各项管理规章，及时进行组织和</w:t>
            </w: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流程的优化调整；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在省国资委审核的工资总额内，组织制订公司职工的工资收入和分配方案，报董事会批准；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领导营造企业文化氛围，塑造和强化公司价值观；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沟通渠道管理</w:t>
            </w: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领导建立公司与客户、供应商、合作伙伴、政府机构、上级主管部门、媒体等机构间的沟通渠道；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领导开展公司的社会关系活动，树立良好的企业形象；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领导建立公司内部的良好沟通渠道，协调各部门的关系。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74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其他工作</w:t>
            </w:r>
          </w:p>
        </w:tc>
        <w:tc>
          <w:tcPr>
            <w:tcW w:w="8346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完成董事会、上级领导交办的其他工作。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</w:pPr>
      <w:r>
        <w:rPr>
          <w:rFonts w:hint="default" w:ascii="Times New Roman" w:hAnsi="Times New Roman" w:eastAsia="微软雅黑" w:cs="Times New Roman"/>
          <w:b/>
          <w:color w:val="565656"/>
          <w:sz w:val="28"/>
          <w:szCs w:val="28"/>
        </w:rPr>
        <w:br w:type="page"/>
      </w:r>
      <w:r>
        <w:rPr>
          <w:rFonts w:hint="eastAsia" w:ascii="黑体" w:hAnsi="宋体" w:eastAsia="黑体" w:cs="黑体"/>
          <w:b w:val="0"/>
          <w:color w:val="565656"/>
        </w:rPr>
        <w:t>二、副总经理（分管投资管理与资本运作）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73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32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一、岗位概要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9320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在总经理的领导下，分管投资管理、资本运营业务工作，参与制订公司的经营战略、政策、规划及目标，管理直属部门工作。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320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二、岗位职责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2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职责</w:t>
            </w: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工作任务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2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组织计划</w:t>
            </w: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协助总经理拟定公司战略规划、年度投融资计划及目标，参与公司经营决策；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组织分管单位或部门学习贯彻上级单位的各项政策、规定、制度、管理办法，并监督实施；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组织编制并审核分管业务管理制度和流程。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2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落地执行</w:t>
            </w: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领导项目拓展与储备、投融资管理、项目管理、资本运营等工作；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在业务策略、资本运作、项目融资等方面提供相关解决方案；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根据公司战略规划，拓展和维护项目资源，完成经营任务和考核业绩指标；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拟订公司投融资规划，开展市场化资本运作，实现国有资本保值增值；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围绕公司经营管理目标，组织分管单位或部门开展工作，落实各项决策事项；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组织分析、落实项目具体方案和实施细则，协调推进项目审批流程，及时处理影响管理体系运行的有关事项；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深入系统开展宏观、行业、市场、投资工具等方面研究，为公司投资战略及战术提供决策支持；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负责公司项目的可行性研究、风险评估、监控和分析项目投资运营管理全过程等，对项目中存在的风险点做出提前预判，为公司提供决策支持，及时提出管理改进建议，推动项目正常有序开展；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定期向总经理汇报公司分管业务工作，并接受公司监事会的监督。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202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配合工作</w:t>
            </w:r>
          </w:p>
        </w:tc>
        <w:tc>
          <w:tcPr>
            <w:tcW w:w="81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参与审议公司各项基本管理制度、流程，促进公司内部管理制度化、规范化。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02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其他工作</w:t>
            </w:r>
          </w:p>
        </w:tc>
        <w:tc>
          <w:tcPr>
            <w:tcW w:w="8118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完成上级领导交办的其他工作。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20"/>
          <w:szCs w:val="20"/>
        </w:rPr>
        <w:t>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</w:pPr>
      <w:r>
        <w:rPr>
          <w:rFonts w:hint="default" w:ascii="Times New Roman" w:hAnsi="Times New Roman" w:eastAsia="微软雅黑" w:cs="Times New Roman"/>
          <w:b/>
          <w:color w:val="565656"/>
          <w:sz w:val="28"/>
          <w:szCs w:val="28"/>
        </w:rPr>
        <w:br w:type="page"/>
      </w:r>
      <w:r>
        <w:rPr>
          <w:rFonts w:hint="eastAsia" w:ascii="黑体" w:hAnsi="宋体" w:eastAsia="黑体" w:cs="黑体"/>
          <w:b w:val="0"/>
          <w:color w:val="565656"/>
        </w:rPr>
        <w:t>三、副总经理（分管内部管理与风险控制）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3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2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一、岗位概要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520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在总经理的领导下，分管经营管理、风险控制工作，参与制订公司的经营战略、政策、规划及目标，管理直属部门工作。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20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二、岗位职责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28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职责</w:t>
            </w: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565656"/>
                <w:sz w:val="22"/>
                <w:szCs w:val="22"/>
              </w:rPr>
              <w:t>工作任务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28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组织计划</w:t>
            </w: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协助总经理制订公司经营计划，参与公司经营决策；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组织分管单位或部门学习贯彻上级单位的各项政策、规定、制度、管理办法，并监督实施；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在董事会和总经理的领导下，主持公司财务会计工作，组织制订公司和下属企业财务战略，并监督执行；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组织编制并审核分管业务管理制度和流程。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8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落地执行</w:t>
            </w: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领导经营管理、财务管理、法律事务、安全生产、风险控制等工作，建设落实风险防控体系，化解潜在风险；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根据公司战略规划，维护现有经营资产，完成经营任务和考核业绩指标；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贯彻落实国家财经政策、法律法规和国资监管的相关规定，依法履行财务监督管理职能；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审核公司各项财务收支报表，会签涉及财务收支的重大项目计划、经济协议等；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组织公司年度目标的分解、下达工作，并做好经营工作的指导与考核工作；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协助总经理拟订公司组织架构调整等内部改革方案，经董事会批复后，推动改革方案的实施和改进；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协助总经理建立健全公司的经营管理体系，经公司董事会批准后组织实施和改进；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协调、检查和督促公司各部门、各下属单位的生产经营和改革管理工作；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围绕公司经营管理目标，组织分管单位或部门开展工作，落实各项决策事项，及时处理影响工作推进的有关事项；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准确把握法律、规则和准则，及时为上级提供合规建议，对业务操作中可能出现的风险点进行风险提示；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组织开展合规检查，评估公司制度、流程的落实执行情况；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领导风险业务的创新，制定相关管理章程，优化内部审核流程；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定期向总经理汇报公司经营管理工作，并接受公司监事会的监督。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28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配合工作</w:t>
            </w:r>
          </w:p>
        </w:tc>
        <w:tc>
          <w:tcPr>
            <w:tcW w:w="829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参与审议公司各项基本管理制度、流程，促进公司内部管理制度化、规范化。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28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其他工作</w:t>
            </w:r>
          </w:p>
        </w:tc>
        <w:tc>
          <w:tcPr>
            <w:tcW w:w="8292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2"/>
                <w:szCs w:val="22"/>
              </w:rPr>
              <w:t>完成上级领导交办的其他工作。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20"/>
          <w:szCs w:val="20"/>
        </w:rPr>
        <w:br w:type="page"/>
      </w:r>
      <w:r>
        <w:rPr>
          <w:rFonts w:hint="eastAsia" w:ascii="黑体" w:hAnsi="宋体" w:eastAsia="黑体" w:cs="黑体"/>
          <w:color w:val="565656"/>
          <w:sz w:val="32"/>
          <w:szCs w:val="32"/>
        </w:rPr>
        <w:t>附件</w:t>
      </w: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t>2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b/>
          <w:color w:val="565656"/>
          <w:sz w:val="44"/>
          <w:szCs w:val="44"/>
        </w:rPr>
        <w:t>四川省矿业投资集团有限责任公司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b/>
          <w:color w:val="565656"/>
          <w:sz w:val="44"/>
          <w:szCs w:val="44"/>
        </w:rPr>
        <w:t>市场化选聘经理层报名表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612"/>
        <w:gridCol w:w="1276"/>
        <w:gridCol w:w="1376"/>
        <w:gridCol w:w="344"/>
        <w:gridCol w:w="1108"/>
        <w:gridCol w:w="29"/>
        <w:gridCol w:w="19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420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pacing w:val="60"/>
                <w:sz w:val="20"/>
                <w:szCs w:val="20"/>
              </w:rPr>
              <w:t>报</w:t>
            </w:r>
            <w:r>
              <w:rPr>
                <w:rFonts w:hint="default" w:ascii="Times New Roman" w:hAnsi="Times New Roman" w:eastAsia="微软雅黑" w:cs="Times New Roman"/>
                <w:color w:val="565656"/>
                <w:spacing w:val="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pacing w:val="60"/>
                <w:sz w:val="20"/>
                <w:szCs w:val="20"/>
              </w:rPr>
              <w:t>名</w:t>
            </w:r>
            <w:r>
              <w:rPr>
                <w:rFonts w:hint="default" w:ascii="Times New Roman" w:hAnsi="Times New Roman" w:eastAsia="微软雅黑" w:cs="Times New Roman"/>
                <w:color w:val="565656"/>
                <w:spacing w:val="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pacing w:val="60"/>
                <w:sz w:val="20"/>
                <w:szCs w:val="20"/>
              </w:rPr>
              <w:t>应</w:t>
            </w:r>
            <w:r>
              <w:rPr>
                <w:rFonts w:hint="default" w:ascii="Times New Roman" w:hAnsi="Times New Roman" w:eastAsia="微软雅黑" w:cs="Times New Roman"/>
                <w:color w:val="565656"/>
                <w:spacing w:val="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pacing w:val="60"/>
                <w:sz w:val="20"/>
                <w:szCs w:val="20"/>
              </w:rPr>
              <w:t>聘</w:t>
            </w:r>
            <w:r>
              <w:rPr>
                <w:rFonts w:hint="default" w:ascii="Times New Roman" w:hAnsi="Times New Roman" w:eastAsia="微软雅黑" w:cs="Times New Roman"/>
                <w:color w:val="565656"/>
                <w:spacing w:val="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pacing w:val="60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color w:val="565656"/>
                <w:spacing w:val="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pacing w:val="60"/>
                <w:sz w:val="20"/>
                <w:szCs w:val="20"/>
              </w:rPr>
              <w:t>员</w:t>
            </w:r>
            <w:r>
              <w:rPr>
                <w:rFonts w:hint="default" w:ascii="Times New Roman" w:hAnsi="Times New Roman" w:eastAsia="微软雅黑" w:cs="Times New Roman"/>
                <w:color w:val="565656"/>
                <w:spacing w:val="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pacing w:val="6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eastAsia="微软雅黑" w:cs="Times New Roman"/>
                <w:color w:val="565656"/>
                <w:spacing w:val="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pacing w:val="60"/>
                <w:sz w:val="20"/>
                <w:szCs w:val="20"/>
              </w:rPr>
              <w:t>况</w:t>
            </w: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名</w:t>
            </w:r>
          </w:p>
        </w:tc>
        <w:tc>
          <w:tcPr>
            <w:tcW w:w="151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性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别</w:t>
            </w: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2194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照片（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寸）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应聘职位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总经理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副总经理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分管投资管理与资本运作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副总经理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分管内部管理与风险控制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是否服从调剂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否</w:t>
            </w:r>
          </w:p>
        </w:tc>
        <w:tc>
          <w:tcPr>
            <w:tcW w:w="219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出生日期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龄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219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政治面貌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入党时间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219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籍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常住地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联系电话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电子邮箱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健康状况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婚姻状况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工作年限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身份证号码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通讯地址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时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间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1"/>
                <w:szCs w:val="21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工作状态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在职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 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离职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 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待业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创业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最高学历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是否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全日制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毕业院校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所学专业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毕业证编号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现工作单位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现任职务、职级及任职时间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（职级指员工级、中层或高层）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负责的主要工作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专业技术职务、职称或职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执）业资格及取得时间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名称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取得时间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评定机构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熟悉专业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有何专长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学习经历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（填写说明：按时间先后顺序，从高中填起）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示例：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0"/>
                <w:szCs w:val="20"/>
              </w:rPr>
              <w:t>1995.09-1999.07  ******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大学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0"/>
                <w:szCs w:val="20"/>
              </w:rPr>
              <w:t>***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0"/>
                <w:szCs w:val="20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大学本科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工学学士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培训经历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（填写说明：按时间先后顺序填写）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8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工作简历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0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示例：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>1999.07-2003.05  **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集团有限公司（国有一级企业）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部门经理（中层正职）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主要负责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>XXX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>2003.05-20**.07  **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集团有限公司（国有一级企业）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副总经理（高层副职）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主要负责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>XXX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超过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字可另提供附件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420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报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名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应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聘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员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近年来取得的主要工作业绩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超过</w:t>
            </w:r>
            <w:r>
              <w:rPr>
                <w:rFonts w:hint="default" w:ascii="Times New Roman" w:hAnsi="Times New Roman" w:eastAsia="微软雅黑" w:cs="Times New Roman"/>
                <w:color w:val="7F7F7F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字可另提供附件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近年来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奖惩情况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420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pacing w:val="20"/>
                <w:sz w:val="20"/>
                <w:szCs w:val="20"/>
              </w:rPr>
              <w:t>最近一家单位基本信息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单位类型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（可多选）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中央企业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 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上市公司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□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地方国有企业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□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民营企业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外资企业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 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合资企业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□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金融单位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      □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机关事业单位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高校及科研院所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□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企业规模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资产总额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        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元，年销售额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      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元，下属企业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     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家，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员工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      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行业地位（行业排名、市场份额等）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主要产品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（服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务）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人事部门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负责人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姓名：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               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电话：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         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地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址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是否有下列情形</w:t>
            </w:r>
          </w:p>
        </w:tc>
        <w:tc>
          <w:tcPr>
            <w:tcW w:w="53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42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有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 xml:space="preserve">□     </w:t>
            </w: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无</w:t>
            </w:r>
            <w:r>
              <w:rPr>
                <w:rFonts w:hint="default" w:ascii="Times New Roman" w:hAnsi="Times New Roman" w:eastAsia="微软雅黑" w:cs="Times New Roman"/>
                <w:color w:val="565656"/>
                <w:sz w:val="20"/>
                <w:szCs w:val="20"/>
              </w:rPr>
              <w:t>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565656"/>
                <w:sz w:val="20"/>
                <w:szCs w:val="20"/>
              </w:rPr>
              <w:t>应聘承诺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2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本人认可并郑重承诺：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本人所填写的个人信息及提交的应聘材料均真实有效，如有虚假，愿意承担由此引起的一切责任。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本人签名：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 xml:space="preserve">                                             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 xml:space="preserve">    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 xml:space="preserve">   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1"/>
                <w:szCs w:val="21"/>
              </w:rPr>
              <w:t>资格审查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审核人签名：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 xml:space="preserve">                                            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（此行由选聘单位填写）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73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 xml:space="preserve">     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 xml:space="preserve">      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65656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20"/>
          <w:szCs w:val="20"/>
        </w:rPr>
        <w:t>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b/>
          <w:color w:val="565656"/>
          <w:sz w:val="32"/>
          <w:szCs w:val="32"/>
        </w:rPr>
        <w:t>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br w:type="page"/>
      </w:r>
      <w:r>
        <w:rPr>
          <w:rFonts w:hint="eastAsia" w:ascii="黑体" w:hAnsi="宋体" w:eastAsia="黑体" w:cs="黑体"/>
          <w:color w:val="565656"/>
          <w:sz w:val="32"/>
          <w:szCs w:val="32"/>
        </w:rPr>
        <w:t>附件</w:t>
      </w: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t>3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36"/>
          <w:szCs w:val="36"/>
        </w:rPr>
        <w:t>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b/>
          <w:color w:val="565656"/>
          <w:sz w:val="44"/>
          <w:szCs w:val="44"/>
        </w:rPr>
        <w:t>个人承诺书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t>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仿宋" w:hAnsi="仿宋" w:eastAsia="仿宋" w:cs="仿宋"/>
          <w:color w:val="565656"/>
          <w:sz w:val="32"/>
          <w:szCs w:val="32"/>
        </w:rPr>
        <w:t>本人已仔细阅读《四川省矿业投资集团有限责任公司市场化选聘经理层公告》（以下简称公告）及相关材料，清楚并理解其内容。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仿宋" w:hAnsi="仿宋" w:eastAsia="仿宋" w:cs="仿宋"/>
          <w:color w:val="565656"/>
          <w:sz w:val="32"/>
          <w:szCs w:val="32"/>
        </w:rPr>
        <w:t>在此我郑重承诺：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仿宋" w:hAnsi="仿宋" w:eastAsia="仿宋" w:cs="仿宋"/>
          <w:color w:val="565656"/>
          <w:sz w:val="32"/>
          <w:szCs w:val="32"/>
        </w:rPr>
        <w:t>一、</w:t>
      </w:r>
      <w:r>
        <w:rPr>
          <w:rFonts w:hint="default" w:ascii="Times New Roman" w:hAnsi="Times New Roman" w:eastAsia="微软雅黑" w:cs="Times New Roman"/>
          <w:color w:val="565656"/>
          <w:sz w:val="11"/>
          <w:szCs w:val="11"/>
        </w:rPr>
        <w:t xml:space="preserve"> </w:t>
      </w:r>
      <w:r>
        <w:rPr>
          <w:rFonts w:hint="eastAsia" w:ascii="仿宋" w:hAnsi="仿宋" w:eastAsia="仿宋" w:cs="仿宋"/>
          <w:color w:val="565656"/>
          <w:sz w:val="32"/>
          <w:szCs w:val="32"/>
        </w:rPr>
        <w:t>本人提供的报名表、身份证以及其他相关证明材料、个人信息均真实准确完整；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仿宋" w:hAnsi="仿宋" w:eastAsia="仿宋" w:cs="仿宋"/>
          <w:color w:val="565656"/>
          <w:sz w:val="32"/>
          <w:szCs w:val="32"/>
        </w:rPr>
        <w:t>二、</w:t>
      </w:r>
      <w:r>
        <w:rPr>
          <w:rFonts w:hint="default" w:ascii="Times New Roman" w:hAnsi="Times New Roman" w:eastAsia="微软雅黑" w:cs="Times New Roman"/>
          <w:color w:val="565656"/>
          <w:sz w:val="11"/>
          <w:szCs w:val="11"/>
        </w:rPr>
        <w:t xml:space="preserve"> </w:t>
      </w:r>
      <w:r>
        <w:rPr>
          <w:rFonts w:hint="eastAsia" w:ascii="仿宋" w:hAnsi="仿宋" w:eastAsia="仿宋" w:cs="仿宋"/>
          <w:color w:val="565656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仿宋" w:hAnsi="仿宋" w:eastAsia="仿宋" w:cs="仿宋"/>
          <w:color w:val="565656"/>
          <w:sz w:val="32"/>
          <w:szCs w:val="32"/>
        </w:rPr>
        <w:t>三、本人若被确定为考察人选，自愿接受考察；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仿宋" w:hAnsi="仿宋" w:eastAsia="仿宋" w:cs="仿宋"/>
          <w:color w:val="565656"/>
          <w:sz w:val="32"/>
          <w:szCs w:val="32"/>
        </w:rPr>
        <w:t>四、对违反以上承诺所造成的后果，本人自愿承担相应责任。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t>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仿宋" w:hAnsi="仿宋" w:eastAsia="仿宋" w:cs="仿宋"/>
          <w:color w:val="565656"/>
          <w:sz w:val="32"/>
          <w:szCs w:val="32"/>
        </w:rPr>
        <w:t>承诺人签字：</w:t>
      </w: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t xml:space="preserve">   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t>                                     </w:t>
      </w:r>
      <w:r>
        <w:rPr>
          <w:rFonts w:hint="eastAsia" w:ascii="仿宋" w:hAnsi="仿宋" w:eastAsia="仿宋" w:cs="仿宋"/>
          <w:color w:val="565656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t xml:space="preserve">    </w:t>
      </w:r>
      <w:r>
        <w:rPr>
          <w:rFonts w:hint="eastAsia" w:ascii="仿宋" w:hAnsi="仿宋" w:eastAsia="仿宋" w:cs="仿宋"/>
          <w:color w:val="565656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color w:val="565656"/>
          <w:sz w:val="32"/>
          <w:szCs w:val="32"/>
        </w:rPr>
        <w:t xml:space="preserve">    </w:t>
      </w:r>
      <w:r>
        <w:rPr>
          <w:rFonts w:hint="eastAsia" w:ascii="仿宋" w:hAnsi="仿宋" w:eastAsia="仿宋" w:cs="仿宋"/>
          <w:color w:val="565656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450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color w:val="565656"/>
          <w:sz w:val="20"/>
          <w:szCs w:val="20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63F4E"/>
    <w:rsid w:val="5D76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565656"/>
      <w:u w:val="none"/>
    </w:rPr>
  </w:style>
  <w:style w:type="character" w:styleId="7">
    <w:name w:val="Hyperlink"/>
    <w:basedOn w:val="5"/>
    <w:uiPriority w:val="0"/>
    <w:rPr>
      <w:color w:val="565656"/>
      <w:u w:val="none"/>
    </w:rPr>
  </w:style>
  <w:style w:type="character" w:customStyle="1" w:styleId="8">
    <w:name w:val="non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2020-04-02T03:47:00Z</dcterms:created>
  <dc:creator>秋叶夏花</dc:creator>
  <cp:lastModifiedBy>秋叶夏花</cp:lastModifiedBy>
  <dcterms:modified xsi:type="dcterms:W3CDTF">2020-04-02T03:47:11Z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